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Le Doux</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TREAS:102-03-04406:2026-03130, Sold on 8/24/2026.</w:t>
      </w:r>
    </w:p>
    <w:p>
      <w:pPr>
        <w:spacing w:after="160"/>
      </w:pPr>
      <w:r>
        <w:t xml:space="preserve">Case No.: 2026-03130</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Le Doux,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Instrument TREAS:102-03-04406:2026-03130 (the "Property") at the time of the trustee's sale on 8/24/2026.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Le Doux,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2026-10-30T14:32:58.081Z</dcterms:created>
  <dcterms:modified xsi:type="dcterms:W3CDTF">2026-10-30T14:32:58.081Z</dcterms:modified>
</cp:coreProperties>
</file>

<file path=docProps/custom.xml><?xml version="1.0" encoding="utf-8"?>
<Properties xmlns="http://schemas.openxmlformats.org/officeDocument/2006/custom-properties" xmlns:vt="http://schemas.openxmlformats.org/officeDocument/2006/docPropsVTypes"/>
</file>