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Fernandez/Diaz</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TREAS:512-37-15400:2026-02939, Sold on 8/31/2026.</w:t>
      </w:r>
    </w:p>
    <w:p>
      <w:pPr>
        <w:spacing w:after="160"/>
      </w:pPr>
      <w:r>
        <w:t xml:space="preserve">Case No.: 2026-02939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Fernandez/Diaz,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TREAS:512-37-15400:2026-02939 (the "Property") at the time of the trustee's sale on 8/31/2026.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Fernandez/Diaz,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2026-10-30T14:33:33.281Z</dcterms:created>
  <dcterms:modified xsi:type="dcterms:W3CDTF">2026-10-30T14:33:33.281Z</dcterms:modified>
</cp:coreProperties>
</file>

<file path=docProps/custom.xml><?xml version="1.0" encoding="utf-8"?>
<Properties xmlns="http://schemas.openxmlformats.org/officeDocument/2006/custom-properties" xmlns:vt="http://schemas.openxmlformats.org/officeDocument/2006/docPropsVTypes"/>
</file>