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Pacheco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TREAS:204-38-43305:2026-03649, Sold on 9/29/2026.</w:t>
      </w:r>
    </w:p>
    <w:p>
      <w:pPr>
        <w:spacing w:after="160"/>
      </w:pPr>
      <w:r>
        <w:t xml:space="preserve">Case No.: 2026-03649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Pacheco,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TREAS:204-38-43305:2026-03649 (the "Property") at the time of the trustee's sale on 9/29/2026.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Pacheco,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2026-10-30T14:29:22.949Z</dcterms:created>
  <dcterms:modified xsi:type="dcterms:W3CDTF">2026-10-30T14:29:22.949Z</dcterms:modified>
</cp:coreProperties>
</file>

<file path=docProps/custom.xml><?xml version="1.0" encoding="utf-8"?>
<Properties xmlns="http://schemas.openxmlformats.org/officeDocument/2006/custom-properties" xmlns:vt="http://schemas.openxmlformats.org/officeDocument/2006/docPropsVTypes"/>
</file>