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Pacheco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TREAS:204-38-43305:2026-03649, Sold on 9/29/2026.</w:t>
      </w:r>
    </w:p>
    <w:p>
      <w:pPr>
        <w:spacing w:after="160"/>
      </w:pPr>
      <w:r>
        <w:t xml:space="preserve">Case No.: 2026-03649</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Pacheco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TREAS:204-38-43305:2026-03649, Assessor's Parcel No. 204-38-43305.</w:t>
      </w:r>
    </w:p>
    <w:p>
      <w:pPr>
        <w:spacing w:after="160"/>
      </w:pPr>
      <w:r>
        <w:t xml:space="preserve">4. The Property was encumbered by a Deed of Trust.</w:t>
      </w:r>
    </w:p>
    <w:p>
      <w:pPr>
        <w:spacing w:after="160"/>
      </w:pPr>
      <w:r>
        <w:t xml:space="preserve">5. On 9/29/2026,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$21,600.00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Pacheco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2026-10-30T14:29:22.447Z</dcterms:created>
  <dcterms:modified xsi:type="dcterms:W3CDTF">2026-10-30T14:29:22.447Z</dcterms:modified>
</cp:coreProperties>
</file>

<file path=docProps/custom.xml><?xml version="1.0" encoding="utf-8"?>
<Properties xmlns="http://schemas.openxmlformats.org/officeDocument/2006/custom-properties" xmlns:vt="http://schemas.openxmlformats.org/officeDocument/2006/docPropsVTypes"/>
</file>